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D3" w:rsidRDefault="001011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011D3" w:rsidRDefault="001011D3">
      <w:pPr>
        <w:rPr>
          <w:b/>
          <w:sz w:val="40"/>
          <w:szCs w:val="40"/>
        </w:rPr>
      </w:pPr>
      <w:bookmarkStart w:id="0" w:name="_heading=h.gjdgxs" w:colFirst="0" w:colLast="0"/>
      <w:bookmarkEnd w:id="0"/>
    </w:p>
    <w:p w:rsidR="001011D3" w:rsidRDefault="000268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Acte de candidature pour l’organisation des 18</w:t>
      </w:r>
      <w:r>
        <w:rPr>
          <w:b/>
          <w:sz w:val="40"/>
          <w:szCs w:val="40"/>
          <w:vertAlign w:val="superscript"/>
        </w:rPr>
        <w:t xml:space="preserve">èmes </w:t>
      </w:r>
      <w:r>
        <w:rPr>
          <w:b/>
          <w:sz w:val="40"/>
          <w:szCs w:val="40"/>
        </w:rPr>
        <w:t>journées scientifiques du RFMF en 2026</w:t>
      </w:r>
    </w:p>
    <w:p w:rsidR="001011D3" w:rsidRDefault="000268E4">
      <w:pPr>
        <w:rPr>
          <w:sz w:val="28"/>
          <w:szCs w:val="28"/>
        </w:rPr>
      </w:pPr>
      <w:r>
        <w:rPr>
          <w:sz w:val="28"/>
          <w:szCs w:val="28"/>
        </w:rPr>
        <w:t xml:space="preserve">Veuillez retourner ce document complété avant le </w:t>
      </w:r>
      <w:r>
        <w:rPr>
          <w:b/>
          <w:sz w:val="28"/>
          <w:szCs w:val="28"/>
        </w:rPr>
        <w:t>Mardi 24 Septembre 2024</w:t>
      </w:r>
      <w:r>
        <w:rPr>
          <w:sz w:val="28"/>
          <w:szCs w:val="28"/>
        </w:rPr>
        <w:t xml:space="preserve"> à David Touboul (</w:t>
      </w:r>
      <w:hyperlink r:id="rId8">
        <w:r>
          <w:rPr>
            <w:color w:val="1155CC"/>
            <w:sz w:val="28"/>
            <w:szCs w:val="28"/>
            <w:u w:val="single"/>
          </w:rPr>
          <w:t>david.touboul@cnrs.fr</w:t>
        </w:r>
      </w:hyperlink>
      <w:r>
        <w:rPr>
          <w:color w:val="00B0F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)</w:t>
      </w:r>
      <w:r w:rsidR="00414360">
        <w:rPr>
          <w:color w:val="548DD4"/>
          <w:sz w:val="28"/>
          <w:szCs w:val="28"/>
        </w:rPr>
        <w:t xml:space="preserve">, </w:t>
      </w:r>
      <w:r>
        <w:rPr>
          <w:sz w:val="28"/>
          <w:szCs w:val="28"/>
        </w:rPr>
        <w:t>Benoit Colsch (</w:t>
      </w:r>
      <w:hyperlink r:id="rId9">
        <w:r>
          <w:rPr>
            <w:color w:val="1155CC"/>
            <w:sz w:val="28"/>
            <w:szCs w:val="28"/>
            <w:u w:val="single"/>
          </w:rPr>
          <w:t>benoit.colsch@cea.fr</w:t>
        </w:r>
      </w:hyperlink>
      <w:r>
        <w:rPr>
          <w:sz w:val="28"/>
          <w:szCs w:val="28"/>
        </w:rPr>
        <w:t xml:space="preserve"> )</w:t>
      </w:r>
      <w:r w:rsidR="00414360">
        <w:rPr>
          <w:sz w:val="28"/>
          <w:szCs w:val="28"/>
        </w:rPr>
        <w:t xml:space="preserve"> et Audrey Le Gouellec (</w:t>
      </w:r>
      <w:hyperlink r:id="rId10" w:history="1">
        <w:r w:rsidR="00414360" w:rsidRPr="00F55731">
          <w:rPr>
            <w:rStyle w:val="Lienhypertexte"/>
            <w:sz w:val="28"/>
            <w:szCs w:val="28"/>
          </w:rPr>
          <w:t>ALegouellec@chu-grenoble.fr</w:t>
        </w:r>
      </w:hyperlink>
      <w:r w:rsidR="00414360">
        <w:rPr>
          <w:sz w:val="28"/>
          <w:szCs w:val="28"/>
        </w:rPr>
        <w:t xml:space="preserve"> )</w:t>
      </w:r>
      <w:bookmarkStart w:id="1" w:name="_GoBack"/>
      <w:bookmarkEnd w:id="1"/>
    </w:p>
    <w:p w:rsidR="001011D3" w:rsidRDefault="000268E4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Nom(s) du/des porteur(s) et leur(s) affiliation(s)</w:t>
      </w:r>
    </w:p>
    <w:p w:rsidR="001011D3" w:rsidRDefault="000268E4">
      <w:pPr>
        <w:spacing w:after="0" w:line="288" w:lineRule="auto"/>
        <w:ind w:left="709"/>
      </w:pPr>
      <w:r>
        <w:t xml:space="preserve">Nous apprécierons qu’il y ait un membre « senior » et un membre « junior » qui portent le projet. </w:t>
      </w:r>
    </w:p>
    <w:p w:rsidR="001011D3" w:rsidRDefault="001011D3">
      <w:pPr>
        <w:spacing w:after="0" w:line="288" w:lineRule="auto"/>
        <w:ind w:left="709"/>
      </w:pPr>
    </w:p>
    <w:p w:rsidR="001011D3" w:rsidRDefault="000268E4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Ville</w:t>
      </w:r>
    </w:p>
    <w:p w:rsidR="001011D3" w:rsidRDefault="001011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1D3" w:rsidRDefault="000268E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color w:val="000000"/>
        </w:rPr>
      </w:pPr>
      <w:r>
        <w:rPr>
          <w:color w:val="000000"/>
        </w:rPr>
        <w:t>Description du centre, disponibilités, conditions d’accès (définir les temps de trajets en avion et train vers le centre depuis Paris, Lyon, Marseille, Bordeaux et Nantes), tarifs, avantages/inconvénients etc…</w:t>
      </w:r>
    </w:p>
    <w:p w:rsidR="001011D3" w:rsidRDefault="001011D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1011D3" w:rsidRDefault="000268E4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Lieu du congrès envisagé</w:t>
      </w:r>
    </w:p>
    <w:p w:rsidR="001011D3" w:rsidRDefault="000268E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jc w:val="both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 xml:space="preserve">Capacité de la salle, implantation des différents espaces, </w:t>
      </w:r>
      <w:r>
        <w:t>coût</w:t>
      </w:r>
      <w:r>
        <w:rPr>
          <w:color w:val="000000"/>
        </w:rPr>
        <w:t xml:space="preserve"> approximatif de la location.  </w:t>
      </w:r>
    </w:p>
    <w:p w:rsidR="001011D3" w:rsidRDefault="001011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1D3" w:rsidRDefault="000268E4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Motivations</w:t>
      </w:r>
    </w:p>
    <w:p w:rsidR="001011D3" w:rsidRDefault="001011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11D3" w:rsidRDefault="001011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11D3" w:rsidRDefault="001011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11D3" w:rsidRDefault="000268E4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Point fort de votre candidature</w:t>
      </w:r>
    </w:p>
    <w:p w:rsidR="001011D3" w:rsidRDefault="000268E4">
      <w:pPr>
        <w:spacing w:after="0" w:line="288" w:lineRule="auto"/>
        <w:jc w:val="both"/>
        <w:rPr>
          <w:color w:val="000000"/>
        </w:rPr>
      </w:pPr>
      <w:r>
        <w:br w:type="page"/>
      </w:r>
    </w:p>
    <w:p w:rsidR="001011D3" w:rsidRDefault="000268E4">
      <w:pPr>
        <w:spacing w:after="0" w:line="288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Quelques informations concernant l’organisation des Journées Scientifiques du RFMF </w:t>
      </w:r>
    </w:p>
    <w:p w:rsidR="001011D3" w:rsidRDefault="000268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 lieu </w:t>
      </w:r>
    </w:p>
    <w:p w:rsidR="001011D3" w:rsidRDefault="000268E4">
      <w:pPr>
        <w:spacing w:after="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>Tous les participants doivent pouvoir participer aux 16JS au sein d’un même lieu regroupant :</w:t>
      </w:r>
    </w:p>
    <w:p w:rsidR="001011D3" w:rsidRDefault="000268E4">
      <w:pPr>
        <w:spacing w:after="0" w:line="288" w:lineRule="auto"/>
        <w:ind w:left="1134"/>
        <w:jc w:val="both"/>
        <w:rPr>
          <w:color w:val="000000"/>
          <w:sz w:val="24"/>
          <w:szCs w:val="24"/>
        </w:rPr>
      </w:pPr>
      <w:r>
        <w:rPr>
          <w:color w:val="000000"/>
        </w:rPr>
        <w:t>- un amphithéâtre de 300 places au minimum avec un accès au wifi bien dimensionné</w:t>
      </w:r>
    </w:p>
    <w:p w:rsidR="001011D3" w:rsidRDefault="000268E4">
      <w:pPr>
        <w:spacing w:after="0" w:line="288" w:lineRule="auto"/>
        <w:ind w:left="1134"/>
        <w:jc w:val="both"/>
        <w:rPr>
          <w:color w:val="000000"/>
          <w:sz w:val="24"/>
          <w:szCs w:val="24"/>
        </w:rPr>
      </w:pPr>
      <w:r>
        <w:rPr>
          <w:color w:val="000000"/>
        </w:rPr>
        <w:t>- un espace spécifique pour 100 posters et les supports permettant de les installer</w:t>
      </w:r>
    </w:p>
    <w:p w:rsidR="001011D3" w:rsidRDefault="000268E4">
      <w:pPr>
        <w:spacing w:after="0" w:line="288" w:lineRule="auto"/>
        <w:ind w:left="1134"/>
        <w:jc w:val="both"/>
        <w:rPr>
          <w:color w:val="000000"/>
          <w:sz w:val="24"/>
          <w:szCs w:val="24"/>
        </w:rPr>
      </w:pPr>
      <w:r>
        <w:rPr>
          <w:color w:val="000000"/>
        </w:rPr>
        <w:t>- un espace sponsors permettant d’accueillir 10 sponsors minimum, avec un accès au wifi</w:t>
      </w:r>
    </w:p>
    <w:p w:rsidR="001011D3" w:rsidRDefault="000268E4">
      <w:pPr>
        <w:spacing w:after="0" w:line="288" w:lineRule="auto"/>
        <w:ind w:left="1134"/>
        <w:jc w:val="both"/>
        <w:rPr>
          <w:color w:val="000000"/>
          <w:sz w:val="24"/>
          <w:szCs w:val="24"/>
        </w:rPr>
      </w:pPr>
      <w:r>
        <w:rPr>
          <w:color w:val="000000"/>
        </w:rPr>
        <w:t>- un espace permettant d’accueillir au moins 300 participants pour les pauses café e</w:t>
      </w:r>
      <w:r>
        <w:rPr>
          <w:color w:val="000000"/>
        </w:rPr>
        <w:t>t déjeuner </w:t>
      </w:r>
    </w:p>
    <w:p w:rsidR="001011D3" w:rsidRDefault="000268E4">
      <w:pPr>
        <w:spacing w:after="0" w:line="288" w:lineRule="auto"/>
        <w:ind w:left="1134"/>
        <w:jc w:val="both"/>
        <w:rPr>
          <w:color w:val="000000"/>
          <w:sz w:val="24"/>
          <w:szCs w:val="24"/>
        </w:rPr>
      </w:pPr>
      <w:r>
        <w:rPr>
          <w:color w:val="000000"/>
        </w:rPr>
        <w:t>- Un espace pour stocker les bagages des participants le 1</w:t>
      </w:r>
      <w:r>
        <w:rPr>
          <w:color w:val="000000"/>
          <w:sz w:val="13"/>
          <w:szCs w:val="13"/>
          <w:vertAlign w:val="superscript"/>
        </w:rPr>
        <w:t>er</w:t>
      </w:r>
      <w:r>
        <w:rPr>
          <w:color w:val="000000"/>
        </w:rPr>
        <w:t xml:space="preserve"> et le dernier jour</w:t>
      </w:r>
    </w:p>
    <w:p w:rsidR="001011D3" w:rsidRDefault="000268E4">
      <w:pPr>
        <w:spacing w:after="0" w:line="288" w:lineRule="auto"/>
        <w:ind w:left="1134"/>
        <w:jc w:val="both"/>
        <w:rPr>
          <w:color w:val="000000"/>
          <w:sz w:val="24"/>
          <w:szCs w:val="24"/>
        </w:rPr>
      </w:pPr>
      <w:bookmarkStart w:id="3" w:name="_heading=h.1fob9te" w:colFirst="0" w:colLast="0"/>
      <w:bookmarkEnd w:id="3"/>
      <w:r>
        <w:rPr>
          <w:color w:val="000000"/>
        </w:rPr>
        <w:t>- Une salle de réunion pour les discussions CA et/ou CO </w:t>
      </w:r>
    </w:p>
    <w:p w:rsidR="001011D3" w:rsidRDefault="000268E4">
      <w:pPr>
        <w:spacing w:after="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>Tous ces espaces doivent être très proches les uns des autres pour permettre une circulation fluide, simple</w:t>
      </w:r>
      <w:r>
        <w:rPr>
          <w:color w:val="000000"/>
        </w:rPr>
        <w:t xml:space="preserve"> et favorable aux sponsors qui soutiennent largement nos journées. </w:t>
      </w:r>
    </w:p>
    <w:p w:rsidR="001011D3" w:rsidRDefault="000268E4">
      <w:pPr>
        <w:spacing w:after="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>Dans un lieu accessible facilement à pied ou en transports en commun, depuis le lieu des JS :</w:t>
      </w:r>
    </w:p>
    <w:p w:rsidR="001011D3" w:rsidRDefault="000268E4">
      <w:pPr>
        <w:spacing w:after="0" w:line="288" w:lineRule="auto"/>
        <w:ind w:left="1134"/>
        <w:jc w:val="both"/>
        <w:rPr>
          <w:color w:val="000000"/>
          <w:sz w:val="24"/>
          <w:szCs w:val="24"/>
        </w:rPr>
      </w:pPr>
      <w:r>
        <w:rPr>
          <w:color w:val="000000"/>
        </w:rPr>
        <w:t>- Un espace pour des ateliers (Workshops) : deux salles équipées en Wifi et pouvant accueillir</w:t>
      </w:r>
      <w:r>
        <w:rPr>
          <w:color w:val="000000"/>
        </w:rPr>
        <w:t xml:space="preserve"> 50 personnes au minimum mises à disposition des responsables de formations </w:t>
      </w:r>
    </w:p>
    <w:p w:rsidR="001011D3" w:rsidRDefault="000268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La période</w:t>
      </w:r>
    </w:p>
    <w:p w:rsidR="001011D3" w:rsidRDefault="000268E4">
      <w:pPr>
        <w:spacing w:after="0" w:line="288" w:lineRule="auto"/>
        <w:jc w:val="both"/>
        <w:rPr>
          <w:color w:val="000000"/>
        </w:rPr>
      </w:pPr>
      <w:r>
        <w:rPr>
          <w:color w:val="000000"/>
        </w:rPr>
        <w:t>Les différents lieux visés doivent être disponibles en mai ou en juin en dehors des jours fériés, en dehors des dates retenues pour le congrès de la Metabolomic Society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chemomix….</w:t>
      </w:r>
      <w:proofErr w:type="gramEnd"/>
      <w:r>
        <w:rPr>
          <w:color w:val="000000"/>
        </w:rPr>
        <w:t xml:space="preserve">.  </w:t>
      </w:r>
    </w:p>
    <w:p w:rsidR="001011D3" w:rsidRDefault="000268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Les pauses et repas</w:t>
      </w:r>
    </w:p>
    <w:p w:rsidR="001011D3" w:rsidRDefault="000268E4">
      <w:pPr>
        <w:spacing w:after="0" w:line="288" w:lineRule="auto"/>
        <w:jc w:val="both"/>
        <w:rPr>
          <w:color w:val="000000"/>
        </w:rPr>
      </w:pPr>
      <w:r>
        <w:rPr>
          <w:color w:val="000000"/>
        </w:rPr>
        <w:t xml:space="preserve">Les pauses cafés et les pauses déjeuner doivent se dérouler sur le lieu des JS. </w:t>
      </w:r>
    </w:p>
    <w:p w:rsidR="001011D3" w:rsidRDefault="000268E4">
      <w:pPr>
        <w:spacing w:after="0" w:line="288" w:lineRule="auto"/>
        <w:jc w:val="both"/>
        <w:rPr>
          <w:color w:val="000000"/>
        </w:rPr>
      </w:pPr>
      <w:r>
        <w:rPr>
          <w:color w:val="000000"/>
        </w:rPr>
        <w:t xml:space="preserve">L’apéritif d’accueil doit se dérouler dans un lieu facilement accessible à pied ou en transports en commun depuis le lieu des JS. </w:t>
      </w:r>
    </w:p>
    <w:p w:rsidR="001011D3" w:rsidRDefault="000268E4">
      <w:pPr>
        <w:spacing w:after="0" w:line="288" w:lineRule="auto"/>
        <w:jc w:val="both"/>
        <w:rPr>
          <w:color w:val="000000"/>
        </w:rPr>
      </w:pPr>
      <w:r>
        <w:rPr>
          <w:color w:val="000000"/>
        </w:rPr>
        <w:t xml:space="preserve">Le repas de gala doit se dérouler dans un lieu facilement accessible à pied ou en transports en commun depuis le lieu des JS. </w:t>
      </w:r>
    </w:p>
    <w:p w:rsidR="001011D3" w:rsidRDefault="000268E4">
      <w:pPr>
        <w:spacing w:after="0" w:line="288" w:lineRule="auto"/>
        <w:jc w:val="both"/>
        <w:rPr>
          <w:color w:val="000000"/>
        </w:rPr>
      </w:pPr>
      <w:r>
        <w:rPr>
          <w:color w:val="000000"/>
        </w:rPr>
        <w:t>Pour ces 3 points, vous pouvez joindre un ou plusieurs devis approximatifs (pour 300 personnes) à l’acte de candidature.</w:t>
      </w:r>
    </w:p>
    <w:p w:rsidR="001011D3" w:rsidRDefault="000268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Format d</w:t>
      </w:r>
      <w:r>
        <w:rPr>
          <w:b/>
          <w:i/>
          <w:color w:val="000000"/>
          <w:sz w:val="28"/>
          <w:szCs w:val="28"/>
        </w:rPr>
        <w:t xml:space="preserve">es journées </w:t>
      </w:r>
    </w:p>
    <w:p w:rsidR="001011D3" w:rsidRDefault="000268E4">
      <w:pPr>
        <w:spacing w:after="0" w:line="288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>Journées Scientifiques du RFMF :</w:t>
      </w:r>
      <w:r>
        <w:rPr>
          <w:color w:val="000000"/>
        </w:rPr>
        <w:t xml:space="preserve"> au minimum 2 jours et demi de conférences, chaque module ayant une conférence plénière (45’) et plusieurs communications orales sélectionnées (15-20’), soit un total d’environ 40 communications orales. A ceci s</w:t>
      </w:r>
      <w:r>
        <w:rPr>
          <w:color w:val="000000"/>
        </w:rPr>
        <w:t>’ajoutent les communications flash (3’) et les présentations des sponsors Platinum. Les posters sont affichés pendant toute la conférence, avec au moins 3 sessions de 2 heures. Le dîner de gala a lieu l’avant-dernier soir après l’assemblée générale statuta</w:t>
      </w:r>
      <w:r>
        <w:rPr>
          <w:color w:val="000000"/>
        </w:rPr>
        <w:t>ire du RFMF pour laquelle une durée suffisamment longue de 90 à 120 minutes doit être aménagée. L’assemblée générale du RFMF junior devra aussi être organisée après une des journées de conférence.</w:t>
      </w:r>
    </w:p>
    <w:p w:rsidR="001011D3" w:rsidRDefault="000268E4">
      <w:pPr>
        <w:spacing w:after="0" w:line="288" w:lineRule="auto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Journée formation / Atelier</w:t>
      </w:r>
      <w:r>
        <w:rPr>
          <w:color w:val="000000"/>
        </w:rPr>
        <w:t xml:space="preserve"> : dans la journée qui précède l</w:t>
      </w:r>
      <w:r>
        <w:rPr>
          <w:color w:val="000000"/>
        </w:rPr>
        <w:t>’ouverture des JSRFMF ou le matin même de l’ouverture du congrès, les adhérents du RFMF organisent une demi-journée ou une journée de formation (ou ateliers). Un appel à projet permet de sélectionner les thèmes et les formateurs de cette journée et sont va</w:t>
      </w:r>
      <w:r>
        <w:rPr>
          <w:color w:val="000000"/>
        </w:rPr>
        <w:t xml:space="preserve">lidés par le CA du </w:t>
      </w:r>
      <w:r>
        <w:rPr>
          <w:color w:val="000000"/>
        </w:rPr>
        <w:lastRenderedPageBreak/>
        <w:t>RFMF. Les formateurs organisent eux-mêmes ces ateliers en collaboration avec le CO et le CS. Les formations sont gratuites. D’un point de vue pratique, chaque formateur en lien avec le CO gèrera les inscriptions à la journée de formation</w:t>
      </w:r>
      <w:r>
        <w:rPr>
          <w:color w:val="000000"/>
        </w:rPr>
        <w:t xml:space="preserve"> et est unique responsable du contenu de la formation. </w:t>
      </w:r>
    </w:p>
    <w:p w:rsidR="001011D3" w:rsidRDefault="000268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Implication des CA RFMF </w:t>
      </w:r>
    </w:p>
    <w:p w:rsidR="001011D3" w:rsidRDefault="000268E4">
      <w:pPr>
        <w:spacing w:after="0" w:line="288" w:lineRule="auto"/>
        <w:jc w:val="both"/>
        <w:rPr>
          <w:color w:val="000000"/>
        </w:rPr>
      </w:pPr>
      <w:r>
        <w:rPr>
          <w:color w:val="000000"/>
        </w:rPr>
        <w:t xml:space="preserve">Les personnes des CA et </w:t>
      </w:r>
      <w:proofErr w:type="gramStart"/>
      <w:r>
        <w:rPr>
          <w:color w:val="000000"/>
        </w:rPr>
        <w:t>CA</w:t>
      </w:r>
      <w:proofErr w:type="gramEnd"/>
      <w:r>
        <w:rPr>
          <w:color w:val="000000"/>
        </w:rPr>
        <w:t xml:space="preserve"> junior du RFMF seront là pour travailler avec vous sur les différents aspects de l’organisation des Journées Scientifiques avec notamment la recherche de sponsors, l’organisation du Conseil scientifique, la check-list et le suivi</w:t>
      </w:r>
      <w:r>
        <w:rPr>
          <w:color w:val="000000"/>
        </w:rPr>
        <w:t xml:space="preserve"> dans le temps de l’organisation des journées, la validation des devis et l’engagement des fonds (l’engagement financier ne se fait que par le RFMF qui assume l’ensemble des déficits / bénéfices). Un suivi mensuel sera mis en place avec l’équipe locale org</w:t>
      </w:r>
      <w:r>
        <w:rPr>
          <w:color w:val="000000"/>
        </w:rPr>
        <w:t xml:space="preserve">anisatrice. </w:t>
      </w:r>
    </w:p>
    <w:p w:rsidR="001011D3" w:rsidRDefault="001011D3">
      <w:pPr>
        <w:spacing w:after="0" w:line="288" w:lineRule="auto"/>
        <w:jc w:val="both"/>
        <w:rPr>
          <w:color w:val="000000"/>
          <w:sz w:val="24"/>
          <w:szCs w:val="24"/>
        </w:rPr>
      </w:pPr>
    </w:p>
    <w:p w:rsidR="001011D3" w:rsidRDefault="001011D3">
      <w:pPr>
        <w:spacing w:line="240" w:lineRule="auto"/>
        <w:jc w:val="both"/>
        <w:rPr>
          <w:color w:val="000000"/>
          <w:sz w:val="24"/>
          <w:szCs w:val="24"/>
        </w:rPr>
      </w:pPr>
    </w:p>
    <w:p w:rsidR="001011D3" w:rsidRDefault="001011D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011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8E4" w:rsidRDefault="000268E4">
      <w:pPr>
        <w:spacing w:after="0" w:line="240" w:lineRule="auto"/>
      </w:pPr>
      <w:r>
        <w:separator/>
      </w:r>
    </w:p>
  </w:endnote>
  <w:endnote w:type="continuationSeparator" w:id="0">
    <w:p w:rsidR="000268E4" w:rsidRDefault="0002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D3" w:rsidRDefault="001011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D3" w:rsidRDefault="000268E4">
    <w:pPr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@</w:t>
    </w:r>
    <w:proofErr w:type="spellStart"/>
    <w:r>
      <w:rPr>
        <w:color w:val="000000"/>
      </w:rPr>
      <w:t>rfmf_official</w:t>
    </w:r>
    <w:proofErr w:type="spellEnd"/>
    <w:r>
      <w:rPr>
        <w:color w:val="000000"/>
      </w:rPr>
      <w:tab/>
    </w:r>
    <w:r>
      <w:rPr>
        <w:color w:val="000000"/>
      </w:rPr>
      <w:tab/>
    </w:r>
  </w:p>
  <w:p w:rsidR="001011D3" w:rsidRDefault="000268E4">
    <w:pPr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@</w:t>
    </w:r>
    <w:proofErr w:type="spellStart"/>
    <w:r>
      <w:rPr>
        <w:color w:val="000000"/>
      </w:rPr>
      <w:t>rfmf_junior</w:t>
    </w:r>
    <w:proofErr w:type="spellEnd"/>
    <w:r>
      <w:rPr>
        <w:color w:val="000000"/>
      </w:rPr>
      <w:tab/>
    </w:r>
    <w:r>
      <w:rPr>
        <w:color w:val="000000"/>
      </w:rPr>
      <w:tab/>
      <w:t>Site Web : www.rfmf.fr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D3" w:rsidRDefault="001011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8E4" w:rsidRDefault="000268E4">
      <w:pPr>
        <w:spacing w:after="0" w:line="240" w:lineRule="auto"/>
      </w:pPr>
      <w:r>
        <w:separator/>
      </w:r>
    </w:p>
  </w:footnote>
  <w:footnote w:type="continuationSeparator" w:id="0">
    <w:p w:rsidR="000268E4" w:rsidRDefault="0002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D3" w:rsidRDefault="001011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D3" w:rsidRDefault="000268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133600" cy="98298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9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D3" w:rsidRDefault="001011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90A"/>
    <w:multiLevelType w:val="multilevel"/>
    <w:tmpl w:val="5BC03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D14B0"/>
    <w:multiLevelType w:val="multilevel"/>
    <w:tmpl w:val="8A9E4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62ACE"/>
    <w:multiLevelType w:val="multilevel"/>
    <w:tmpl w:val="A9D61E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D3"/>
    <w:rsid w:val="000268E4"/>
    <w:rsid w:val="001011D3"/>
    <w:rsid w:val="0041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75EA7A"/>
  <w15:docId w15:val="{42D28A9D-7505-4A53-A5DB-D5244AE9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2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6DE4"/>
    <w:rPr>
      <w:b/>
      <w:bCs/>
    </w:rPr>
  </w:style>
  <w:style w:type="character" w:styleId="Lienhypertexte">
    <w:name w:val="Hyperlink"/>
    <w:basedOn w:val="Policepardfaut"/>
    <w:uiPriority w:val="99"/>
    <w:unhideWhenUsed/>
    <w:rsid w:val="00336DE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E57F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758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2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2E63"/>
  </w:style>
  <w:style w:type="paragraph" w:styleId="Pieddepage">
    <w:name w:val="footer"/>
    <w:basedOn w:val="Normal"/>
    <w:link w:val="PieddepageCar"/>
    <w:uiPriority w:val="99"/>
    <w:unhideWhenUsed/>
    <w:rsid w:val="00D32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2E63"/>
  </w:style>
  <w:style w:type="character" w:customStyle="1" w:styleId="Titre1Car">
    <w:name w:val="Titre 1 Car"/>
    <w:basedOn w:val="Policepardfaut"/>
    <w:link w:val="Titre1"/>
    <w:uiPriority w:val="9"/>
    <w:rsid w:val="00D32E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3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touboul@cnrs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Legouellec@chu-grenobl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oit.colsch@cea.f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NXQU5qxvVj6F9ixTiPZorGo7dw==">CgMxLjAyCGguZ2pkZ3hzMgloLjMwajB6bGwyCWguMWZvYjl0ZTgAciExczVVb0t3cGFlajlDdk5ZUWc5WDc0TFF3OXF3N2stNmE=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3951</Characters>
  <Application>Microsoft Office Word</Application>
  <DocSecurity>0</DocSecurity>
  <Lines>32</Lines>
  <Paragraphs>9</Paragraphs>
  <ScaleCrop>false</ScaleCrop>
  <Company>CEA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Floriant Bellvert</dc:creator>
  <cp:lastModifiedBy>COLSCH Benoit</cp:lastModifiedBy>
  <cp:revision>2</cp:revision>
  <dcterms:created xsi:type="dcterms:W3CDTF">2024-06-27T07:55:00Z</dcterms:created>
  <dcterms:modified xsi:type="dcterms:W3CDTF">2024-07-05T07:47:00Z</dcterms:modified>
</cp:coreProperties>
</file>